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Betriebskosten Belege und Rückfragen für die Abrechnung</w:t>
      </w:r>
    </w:p>
    <w:p>
      <w:pPr>
        <w:pStyle w:val="Subtitle"/>
      </w:pPr>
      <w:r>
        <w:t>Vorlage zum Ausfüllen</w:t>
      </w:r>
    </w:p>
    <w:p>
      <w:r>
        <w:t>Stellen Sie Belege, Verteilgrundlagen, Nutzerdaten und Vorauszahlungen für einen Abrechnungszeitraum zusammen. Die Liste zeigt, welche Zuordnung vor der fachlichen Prüfung noch geklärt werden muss.</w:t>
      </w:r>
    </w:p>
    <w:p>
      <w:r>
        <w:t>Tragen Sie Ihren Vorgang ein. Die kurzen Hinweise helfen beim Ausfüllen; was noch fehlt, markieren Sie als offen.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Objekt und Abrechnungszeitraum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Eindeutiges Objekt und Beginn sowie Ende des Zeitraums.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Vertrags- und Verteilgrundlagen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Ablage und Fassung der für die Prüfung verwendeten Grundlagen.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Nutzer- und Einheitenstand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Verwendete Liste und noch ungeklärte Wechsel oder Zuordnungen.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Vorauszahlungen und Datenstand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Herkunft der erfassten Vorauszahlungen und offene Buchungsfragen.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Frist und Quelle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Geprüften Endtermin und Rechts- beziehungsweise Vertragsgrundlage eintragen; interne Termine kennzeichnen.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und Übergabetermin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Bearbeitende Funktion und frei gewählten internen Termin.</w:t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Beleg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Zeitraum / Bezug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Betrag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Prüffrage / Zuständigkeit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br/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Objekt und Abrechnungszeitraum festlegen. Die verwendeten Fassungen von Vertrags-, Flächen- und Nutzerdaten angeben.</w:t>
      </w:r>
    </w:p>
    <w:p>
      <w:pPr>
        <w:keepNext/>
      </w:pPr>
      <w:r>
        <w:t>2. Jeden Beleg dem Objekt und Leistungszeitraum zuordnen; Rechnungsdatum gesondert erfassen.</w:t>
      </w:r>
    </w:p>
    <w:p>
      <w:pPr>
        <w:keepNext/>
      </w:pPr>
      <w:r>
        <w:t>3. Doppelte Erfassungen, Gutschriften und Korrekturen abgleichen. Offene Buchungen oder Nutzerwechsel als konkrete Rückfragen zuweisen.</w:t>
      </w:r>
    </w:p>
    <w:p>
      <w:pPr>
        <w:keepNext w:val="0"/>
      </w:pPr>
      <w:r>
        <w:t>4. Liste und Originalbelege gemeinsam zur fachlichen Prüfung übergeben. Geprüfte Frist und internen Übergabetermin getrennt festhalten.</w:t>
      </w:r>
    </w:p>
    <w:p>
      <w:pPr>
        <w:pStyle w:val="Heading1"/>
      </w:pPr>
      <w:r>
        <w:t>Hinweise zur Anwendung</w:t>
      </w:r>
    </w:p>
    <w:p>
      <w:pPr>
        <w:keepNext/>
      </w:pPr>
      <w:r>
        <w:t>Ein erfasster Beleg ist noch keine Entscheidung über seine Umlagefähigkeit.</w:t>
      </w:r>
    </w:p>
    <w:p>
      <w:pPr>
        <w:keepNext/>
      </w:pPr>
      <w:r>
        <w:t>Leistungszeitraum und Rechnungsdatum getrennt behandeln; die verwendeten Verteil- und Nutzerdaten beim Vorgang aufbewahren.</w:t>
      </w:r>
    </w:p>
    <w:p>
      <w:pPr>
        <w:keepNext w:val="0"/>
      </w:pPr>
      <w:r>
        <w:t>Die Frist im ausgefüllten Beispiel gilt für den dort beschriebenen Fall. Andere Konstellationen müssen gesondert bestimmt werden.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vorsprung-mit-ki.de/wissen/betriebskosten-unterlagen/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Betriebskosten: Belege und Rückfragen für die Abrechnung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